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Century Gothic" w:cs="Century Gothic" w:eastAsia="Century Gothic" w:hAnsi="Century Gothic"/>
          <w:b w:val="1"/>
          <w:color w:val="ee9410"/>
        </w:rPr>
      </w:pPr>
      <w:r w:rsidDel="00000000" w:rsidR="00000000" w:rsidRPr="00000000">
        <w:rPr>
          <w:rFonts w:ascii="Century Gothic" w:cs="Century Gothic" w:eastAsia="Century Gothic" w:hAnsi="Century Gothic"/>
          <w:b w:val="1"/>
          <w:color w:val="ee9410"/>
          <w:rtl w:val="0"/>
        </w:rPr>
        <w:t xml:space="preserve">GUÍA PARA REDACTORES</w:t>
      </w:r>
    </w:p>
    <w:p w:rsidR="00000000" w:rsidDel="00000000" w:rsidP="00000000" w:rsidRDefault="00000000" w:rsidRPr="00000000" w14:paraId="00000002">
      <w:pPr>
        <w:spacing w:after="0"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3">
      <w:pPr>
        <w:spacing w:after="0" w:line="240" w:lineRule="auto"/>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Catálisis es una publicación digital semestral que recepta artículos de divulgación científica, enfocado en diversos ámbitos científicos, tecnológicos y sociales, definidos </w:t>
      </w:r>
      <w:r w:rsidDel="00000000" w:rsidR="00000000" w:rsidRPr="00000000">
        <w:rPr>
          <w:rFonts w:ascii="Century Gothic" w:cs="Century Gothic" w:eastAsia="Century Gothic" w:hAnsi="Century Gothic"/>
          <w:b w:val="1"/>
          <w:color w:val="222222"/>
          <w:sz w:val="20"/>
          <w:szCs w:val="20"/>
          <w:rtl w:val="0"/>
        </w:rPr>
        <w:t xml:space="preserve">para cada edició</w:t>
      </w:r>
      <w:r w:rsidDel="00000000" w:rsidR="00000000" w:rsidRPr="00000000">
        <w:rPr>
          <w:rFonts w:ascii="Century Gothic" w:cs="Century Gothic" w:eastAsia="Century Gothic" w:hAnsi="Century Gothic"/>
          <w:color w:val="222222"/>
          <w:sz w:val="20"/>
          <w:szCs w:val="20"/>
          <w:rtl w:val="0"/>
        </w:rPr>
        <w:t xml:space="preserve">n. Receptamos artículos originales escritos en lenguaje </w:t>
      </w:r>
      <w:r w:rsidDel="00000000" w:rsidR="00000000" w:rsidRPr="00000000">
        <w:rPr>
          <w:rFonts w:ascii="Century Gothic" w:cs="Century Gothic" w:eastAsia="Century Gothic" w:hAnsi="Century Gothic"/>
          <w:b w:val="1"/>
          <w:color w:val="222222"/>
          <w:sz w:val="20"/>
          <w:szCs w:val="20"/>
          <w:rtl w:val="0"/>
        </w:rPr>
        <w:t xml:space="preserve">accesible a distintos públicos. </w:t>
      </w:r>
      <w:r w:rsidDel="00000000" w:rsidR="00000000" w:rsidRPr="00000000">
        <w:rPr>
          <w:rFonts w:ascii="Century Gothic" w:cs="Century Gothic" w:eastAsia="Century Gothic" w:hAnsi="Century Gothic"/>
          <w:color w:val="222222"/>
          <w:sz w:val="20"/>
          <w:szCs w:val="20"/>
          <w:rtl w:val="0"/>
        </w:rPr>
        <w:t xml:space="preserve">No se publican monografías o textos netamente científicos sin una adecuada curaduría de lenguaje. Se considerará la publicación de reseñas o artículos cortos derivados de este tipo de artículos. </w:t>
      </w:r>
    </w:p>
    <w:p w:rsidR="00000000" w:rsidDel="00000000" w:rsidP="00000000" w:rsidRDefault="00000000" w:rsidRPr="00000000" w14:paraId="00000004">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05">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06">
      <w:pPr>
        <w:spacing w:after="0" w:line="240" w:lineRule="auto"/>
        <w:jc w:val="both"/>
        <w:rPr>
          <w:rFonts w:ascii="Century Gothic" w:cs="Century Gothic" w:eastAsia="Century Gothic" w:hAnsi="Century Gothic"/>
          <w:b w:val="1"/>
          <w:color w:val="222222"/>
          <w:sz w:val="20"/>
          <w:szCs w:val="20"/>
          <w:u w:val="single"/>
        </w:rPr>
      </w:pPr>
      <w:r w:rsidDel="00000000" w:rsidR="00000000" w:rsidRPr="00000000">
        <w:rPr>
          <w:rFonts w:ascii="Century Gothic" w:cs="Century Gothic" w:eastAsia="Century Gothic" w:hAnsi="Century Gothic"/>
          <w:b w:val="1"/>
          <w:color w:val="222222"/>
          <w:sz w:val="20"/>
          <w:szCs w:val="20"/>
          <w:u w:val="single"/>
          <w:rtl w:val="0"/>
        </w:rPr>
        <w:t xml:space="preserve">Estructura general del artículo:</w:t>
      </w:r>
    </w:p>
    <w:p w:rsidR="00000000" w:rsidDel="00000000" w:rsidP="00000000" w:rsidRDefault="00000000" w:rsidRPr="00000000" w14:paraId="00000007">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Revisa la estructura general del artículo y trabaja con el formato descargable de la revista:</w:t>
      </w:r>
    </w:p>
    <w:p w:rsidR="00000000" w:rsidDel="00000000" w:rsidP="00000000" w:rsidRDefault="00000000" w:rsidRPr="00000000" w14:paraId="00000009">
      <w:pPr>
        <w:spacing w:after="0" w:line="240" w:lineRule="auto"/>
        <w:rPr>
          <w:sz w:val="20"/>
          <w:szCs w:val="20"/>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22222"/>
          <w:sz w:val="20"/>
          <w:szCs w:val="20"/>
          <w:u w:val="none"/>
          <w:shd w:fill="auto" w:val="clear"/>
          <w:vertAlign w:val="baseline"/>
          <w:rtl w:val="0"/>
        </w:rPr>
        <w:t xml:space="preserve">Título:</w:t>
      </w: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 Los artículos contarán con un título principal, y de ser posible acompañado por un subtítulo que facilite al lector entender el contenido del artículo. Ambos sumarán un máximo de 13 palabras.</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22222"/>
          <w:sz w:val="20"/>
          <w:szCs w:val="20"/>
          <w:u w:val="none"/>
          <w:shd w:fill="auto" w:val="clear"/>
          <w:vertAlign w:val="baseline"/>
          <w:rtl w:val="0"/>
        </w:rPr>
        <w:t xml:space="preserve">Datos de autoría:</w:t>
      </w: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 El o la autor/a incluirá la siguiente información personal y de contacto: Nombre y apellido (como aparecerá en la revista), filiación y usuario de Twitter o mail de contacto.</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22222"/>
          <w:sz w:val="20"/>
          <w:szCs w:val="20"/>
          <w:u w:val="none"/>
          <w:shd w:fill="auto" w:val="clear"/>
          <w:vertAlign w:val="baseline"/>
          <w:rtl w:val="0"/>
        </w:rPr>
        <w:t xml:space="preserve">Resumen: </w:t>
      </w: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Contendrá la información clave sobre el artículo. No requiere el uso de citas y debe cumplir una extensión máxima de 200 palabras. </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22222"/>
          <w:sz w:val="20"/>
          <w:szCs w:val="20"/>
          <w:u w:val="none"/>
          <w:shd w:fill="auto" w:val="clear"/>
          <w:vertAlign w:val="baseline"/>
          <w:rtl w:val="0"/>
        </w:rPr>
        <w:t xml:space="preserve">Citas: </w:t>
      </w: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Todas las citas incluidas en el texto deben ser colocadas en orden de aparición en corchetes antes de los signos de puntuación. Por ejemplo  [1], [2-4] o [1,3]. </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22222"/>
          <w:sz w:val="20"/>
          <w:szCs w:val="20"/>
          <w:u w:val="none"/>
          <w:shd w:fill="auto" w:val="clear"/>
          <w:vertAlign w:val="baseline"/>
          <w:rtl w:val="0"/>
        </w:rPr>
        <w:t xml:space="preserve">Referencias: </w:t>
      </w: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La lista de referencias debe ser ordenada con números en orden de aparición en el texto. Recomendamos el uso del estilo </w:t>
      </w:r>
      <w:hyperlink r:id="rId7">
        <w:r w:rsidDel="00000000" w:rsidR="00000000" w:rsidRPr="00000000">
          <w:rPr>
            <w:rFonts w:ascii="Century Gothic" w:cs="Century Gothic" w:eastAsia="Century Gothic" w:hAnsi="Century Gothic"/>
            <w:b w:val="0"/>
            <w:i w:val="0"/>
            <w:smallCaps w:val="0"/>
            <w:strike w:val="0"/>
            <w:color w:val="0000ff"/>
            <w:sz w:val="20"/>
            <w:szCs w:val="20"/>
            <w:u w:val="single"/>
            <w:shd w:fill="auto" w:val="clear"/>
            <w:vertAlign w:val="baseline"/>
            <w:rtl w:val="0"/>
          </w:rPr>
          <w:t xml:space="preserve">ACS</w:t>
        </w:r>
      </w:hyperlink>
      <w:r w:rsidDel="00000000" w:rsidR="00000000" w:rsidRPr="00000000">
        <w:rPr>
          <w:rFonts w:ascii="Century Gothic" w:cs="Century Gothic" w:eastAsia="Century Gothic" w:hAnsi="Century Gothic"/>
          <w:b w:val="0"/>
          <w:i w:val="0"/>
          <w:smallCaps w:val="0"/>
          <w:strike w:val="0"/>
          <w:color w:val="222222"/>
          <w:sz w:val="20"/>
          <w:szCs w:val="20"/>
          <w:u w:val="singl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222222"/>
          <w:sz w:val="20"/>
          <w:szCs w:val="20"/>
          <w:u w:val="none"/>
          <w:shd w:fill="auto" w:val="clear"/>
          <w:vertAlign w:val="baseline"/>
          <w:rtl w:val="0"/>
        </w:rPr>
        <w:t xml:space="preserve">que permite incluir las citas con numeración en el texto. Todos los accesos web deben contener hipervínculo en la lista de referencias. </w:t>
      </w:r>
    </w:p>
    <w:p w:rsidR="00000000" w:rsidDel="00000000" w:rsidP="00000000" w:rsidRDefault="00000000" w:rsidRPr="00000000" w14:paraId="0000000F">
      <w:pPr>
        <w:spacing w:after="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0">
      <w:pPr>
        <w:spacing w:after="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1"/>
          <w:i w:val="0"/>
          <w:smallCaps w:val="0"/>
          <w:strike w:val="0"/>
          <w:color w:val="222222"/>
          <w:sz w:val="20"/>
          <w:szCs w:val="20"/>
          <w:u w:val="single"/>
          <w:shd w:fill="auto" w:val="clear"/>
          <w:vertAlign w:val="baseline"/>
          <w:rtl w:val="0"/>
        </w:rPr>
        <w:t xml:space="preserve">Para redactar </w:t>
      </w:r>
      <w:r w:rsidDel="00000000" w:rsidR="00000000" w:rsidRPr="00000000">
        <w:rPr>
          <w:rFonts w:ascii="Century Gothic" w:cs="Century Gothic" w:eastAsia="Century Gothic" w:hAnsi="Century Gothic"/>
          <w:b w:val="1"/>
          <w:i w:val="0"/>
          <w:smallCaps w:val="0"/>
          <w:strike w:val="0"/>
          <w:color w:val="000000"/>
          <w:sz w:val="20"/>
          <w:szCs w:val="20"/>
          <w:u w:val="single"/>
          <w:shd w:fill="auto" w:val="clear"/>
          <w:vertAlign w:val="baseline"/>
          <w:rtl w:val="0"/>
        </w:rPr>
        <w:t xml:space="preserve">tu artículo te recomendamos:</w:t>
      </w:r>
    </w:p>
    <w:p w:rsidR="00000000" w:rsidDel="00000000" w:rsidP="00000000" w:rsidRDefault="00000000" w:rsidRPr="00000000" w14:paraId="00000012">
      <w:pPr>
        <w:spacing w:after="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3">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Pensar en la audiencia que leerá tu artículo. </w:t>
      </w:r>
      <w:r w:rsidDel="00000000" w:rsidR="00000000" w:rsidRPr="00000000">
        <w:rPr>
          <w:rFonts w:ascii="Century Gothic" w:cs="Century Gothic" w:eastAsia="Century Gothic" w:hAnsi="Century Gothic"/>
          <w:sz w:val="20"/>
          <w:szCs w:val="20"/>
          <w:rtl w:val="0"/>
        </w:rPr>
        <w:t xml:space="preserve">A la hora de plantear un artículo, recuerda que nuestros lectores son un público interesado por la ciencia y la tecnología, pero que muchas veces no son expertos/as, por lo que no están familiarizados/as con la terminología técnica. El texto debe tener claridad. Se busca que los contenidos de Catálisis lleguen a un público no especializado, por lo que cualquier tipo de término científico o específico debe ser debidamente explicado y detallado. Se recomienda el uso de metáforas, analogías y otros recursos literarios para transmitir conceptos, términos o ideas.</w:t>
      </w:r>
    </w:p>
    <w:p w:rsidR="00000000" w:rsidDel="00000000" w:rsidP="00000000" w:rsidRDefault="00000000" w:rsidRPr="00000000" w14:paraId="00000014">
      <w:pPr>
        <w:spacing w:after="0"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5">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Un título interesante y conciso dice más que mil palabras. </w:t>
      </w:r>
      <w:r w:rsidDel="00000000" w:rsidR="00000000" w:rsidRPr="00000000">
        <w:rPr>
          <w:rFonts w:ascii="Century Gothic" w:cs="Century Gothic" w:eastAsia="Century Gothic" w:hAnsi="Century Gothic"/>
          <w:sz w:val="20"/>
          <w:szCs w:val="20"/>
          <w:rtl w:val="0"/>
        </w:rPr>
        <w:t xml:space="preserve">El título debe ser lo más claro y específico posible, haciendo referencia al contenido de la nota y dando indicios de lo que seguirá a continuación. No se recomienda ni juegos de palabras ni referencias muy culturales (a menos que sean demasiado universales) porque el público lector de Catálisis proviene de diversas latitudes y realidades, y se corre riesgo de que el mensaje no se entienda.</w:t>
      </w:r>
    </w:p>
    <w:p w:rsidR="00000000" w:rsidDel="00000000" w:rsidP="00000000" w:rsidRDefault="00000000" w:rsidRPr="00000000" w14:paraId="00000016">
      <w:pPr>
        <w:spacing w:after="0"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7">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Una estructura clara del texto ayuda a comprender el mensaje. </w:t>
      </w:r>
      <w:r w:rsidDel="00000000" w:rsidR="00000000" w:rsidRPr="00000000">
        <w:rPr>
          <w:rFonts w:ascii="Century Gothic" w:cs="Century Gothic" w:eastAsia="Century Gothic" w:hAnsi="Century Gothic"/>
          <w:sz w:val="20"/>
          <w:szCs w:val="20"/>
          <w:rtl w:val="0"/>
        </w:rPr>
        <w:t xml:space="preserve">En los primeros párrafos (Introducción) presentar el tema con la suficiente claridad y sencillez para que pueda ser entendido, además de un paneo general por los principales puntos que se abordarán. A medida que se avance en el artículo se deberán ir ampliando y desarrollando esos puntos, siguiendo una lógica que construya un texto debidamente ordenado. A modo de ejemplo: si el artículo es sobre las vacunas, el tema debe ser presentado en la introducción y sus puntos principales desarrollados uno a uno: funcionamiento, eficacia, opciones en el mercado, metodologías, otros. </w:t>
      </w:r>
    </w:p>
    <w:p w:rsidR="00000000" w:rsidDel="00000000" w:rsidP="00000000" w:rsidRDefault="00000000" w:rsidRPr="00000000" w14:paraId="00000018">
      <w:pPr>
        <w:spacing w:after="0"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9">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 es recomendable desarrollar temas o ideas que no han sido presentadas previamente o que no tienen que ver con la temática planteada, ya que eso dificulta la lectura de la audiencia, ya que rompe con el hilo conductor, agrega nueva información y distrae del foco del texto. Todo el artículo debe girar en torno al tema planteado en el título, bajada e introducción. </w:t>
      </w:r>
    </w:p>
    <w:p w:rsidR="00000000" w:rsidDel="00000000" w:rsidP="00000000" w:rsidRDefault="00000000" w:rsidRPr="00000000" w14:paraId="0000001A">
      <w:pPr>
        <w:spacing w:after="0"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B">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Fluidez para transmitir el mensaje. </w:t>
      </w:r>
      <w:r w:rsidDel="00000000" w:rsidR="00000000" w:rsidRPr="00000000">
        <w:rPr>
          <w:rFonts w:ascii="Century Gothic" w:cs="Century Gothic" w:eastAsia="Century Gothic" w:hAnsi="Century Gothic"/>
          <w:sz w:val="20"/>
          <w:szCs w:val="20"/>
          <w:rtl w:val="0"/>
        </w:rPr>
        <w:t xml:space="preserve">Aparte de una estructura clara, se recomienda usar frases cortas (Sujeto + Verbo + Predicado) y directas para la elaboración de oraciones. Esto facilita la lectura fluida del artículo. Además, se recomienda cuidar la uniformidad de extensión de los párrafos para que quede un texto parejo. Esto quiere decir que no es recomendable un párrafo de tres líneas seguido por otro de 12, o viceversa. En estos casos, se recomienda hacer, a modo de ejemplo, uno 7 y otro de 5, o dos de 6. No sólo que visualmente ayuda al impacto del artículo, sino que supone mejoras para el trabajo de diseño. De igual forma que en los títulos, se recomienda evitar expresiones, referencias culturales o terminología lingüística local en el cuerpo del texto, porque se corre riesgo de que, al ser leído en otras regiones, el mensaje sea confuso, se malinterprete o, directamente, no se entienda.</w:t>
      </w:r>
    </w:p>
    <w:p w:rsidR="00000000" w:rsidDel="00000000" w:rsidP="00000000" w:rsidRDefault="00000000" w:rsidRPr="00000000" w14:paraId="0000001C">
      <w:pPr>
        <w:spacing w:after="0"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D">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Usar información verificable. </w:t>
      </w:r>
      <w:r w:rsidDel="00000000" w:rsidR="00000000" w:rsidRPr="00000000">
        <w:rPr>
          <w:rFonts w:ascii="Century Gothic" w:cs="Century Gothic" w:eastAsia="Century Gothic" w:hAnsi="Century Gothic"/>
          <w:sz w:val="20"/>
          <w:szCs w:val="20"/>
          <w:rtl w:val="0"/>
        </w:rPr>
        <w:t xml:space="preserve">El texto debe ser riguroso científicamente. No por ser coloquial o informal debe ser inexacto o tendencioso. Esto significa que todo el contenido volcado en él debe estar debidamente chequeado y verificado. Se puede atribuir el contenido de otras fuentes mediante el uso de citas, referencias, paráfrasis y demás recursos, pero cuidando que la información que se transmita sea veraz. Es todo un reto, pero este es precisamente el desafío de un insumo de divulgación científica</w:t>
      </w:r>
    </w:p>
    <w:p w:rsidR="00000000" w:rsidDel="00000000" w:rsidP="00000000" w:rsidRDefault="00000000" w:rsidRPr="00000000" w14:paraId="0000001E">
      <w:pPr>
        <w:spacing w:after="0"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F">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Cuidar el tono de cada texto. </w:t>
      </w:r>
      <w:r w:rsidDel="00000000" w:rsidR="00000000" w:rsidRPr="00000000">
        <w:rPr>
          <w:rFonts w:ascii="Century Gothic" w:cs="Century Gothic" w:eastAsia="Century Gothic" w:hAnsi="Century Gothic"/>
          <w:sz w:val="20"/>
          <w:szCs w:val="20"/>
          <w:rtl w:val="0"/>
        </w:rPr>
        <w:t xml:space="preserve">Se desaconsejan expresiones que tengan que ver con la opinión personal, con orientación política o imposición de perspectivas al lector/a, a menos que se trate, explícitamente, de un artículo de opinión. Evita el uso de adjetivos calificativos o hacer evaluaciones (ligeras) en torno al tema que se está trabajando. Si bien se entiende que toda producción incorpora la subjetividad de sus autores, se debe buscar un tono lo más objetivo posible, plural y que fomente el diálogo y la discusión. Creemos que se pueden expresar posiciones en tanto estén bien argumentadas, informadas y explicadas.</w:t>
      </w:r>
    </w:p>
    <w:p w:rsidR="00000000" w:rsidDel="00000000" w:rsidP="00000000" w:rsidRDefault="00000000" w:rsidRPr="00000000" w14:paraId="00000020">
      <w:pPr>
        <w:spacing w:after="0"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1">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Evita el uso de la primera persona (yo/nosotros/as), así como los verbos conjugados a partir de estas personas (debemos, buscamos, intentemos), en la medida de lo posible (a menos que sea extremadamente necesario). El lenguaje empleado puede ser coloquial e informal, pero sin explicitar en el texto las opiniones del redactor/a y sin apelar al modo imperativo.</w:t>
      </w:r>
    </w:p>
    <w:p w:rsidR="00000000" w:rsidDel="00000000" w:rsidP="00000000" w:rsidRDefault="00000000" w:rsidRPr="00000000" w14:paraId="00000022">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Evitar cualquier tipo de expresión sexista, racista o discriminatoria. Estamos comprometidos/as con evitar la discriminación y re victimización de grupos históricamente excluidos. En ese sentido, aconsejamos usar redacciones sin el universal masculino, como “el personal”, en lugar de “los empleados” y afines. </w:t>
      </w:r>
    </w:p>
    <w:p w:rsidR="00000000" w:rsidDel="00000000" w:rsidP="00000000" w:rsidRDefault="00000000" w:rsidRPr="00000000" w14:paraId="00000023">
      <w:pPr>
        <w:spacing w:after="0"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4">
      <w:pPr>
        <w:spacing w:after="0" w:line="24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La puntuación es la cereza del pastel de todo texto. </w:t>
      </w:r>
      <w:r w:rsidDel="00000000" w:rsidR="00000000" w:rsidRPr="00000000">
        <w:rPr>
          <w:rFonts w:ascii="Century Gothic" w:cs="Century Gothic" w:eastAsia="Century Gothic" w:hAnsi="Century Gothic"/>
          <w:sz w:val="20"/>
          <w:szCs w:val="20"/>
          <w:rtl w:val="0"/>
        </w:rPr>
        <w:t xml:space="preserve">Pon especial atención en el correcto uso de la puntuación: uso de punto seguido, dos puntos, coma, punto y coma, para favorecer una redacción fluida y que contribuya al entendimiento de la nota. Se recomienda el uso de subtítulos para jerarquizar y ordenar la información y para que generar un mejor impacto visual del artículo, especialmente para los casos de notas que sean demasiado extensas. Los subtítulos tienen que ser introductorios y deben estar vinculados con el contenido que anteceden. En lo posible, deben ser cortos, concisos y directos.</w:t>
      </w:r>
      <w:r w:rsidDel="00000000" w:rsidR="00000000" w:rsidRPr="00000000">
        <w:rPr>
          <w:rtl w:val="0"/>
        </w:rPr>
      </w:r>
    </w:p>
    <w:p w:rsidR="00000000" w:rsidDel="00000000" w:rsidP="00000000" w:rsidRDefault="00000000" w:rsidRPr="00000000" w14:paraId="00000025">
      <w:pPr>
        <w:spacing w:after="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Las terminologías en otros idiomas (puede ser inglés u otra lengua) deben ir en itálica, siempre. Los cargos de todo tipo (político, institucional, de gestión), así como los grados de formación de las personas citadas (doctorado, maestría, licenciatura) deben ir siempre en minúscula en el texto: presidente, directora, coordinador, jefa, gobernadora, doctor, magíster, licenciada, etc. Todas las siglas deben aclararse, incluso las más conocidas. Se la puede nombrar de forma completa en su primera mención y luego, en el resto del texto, utilizar la sigla.</w:t>
      </w:r>
      <w:r w:rsidDel="00000000" w:rsidR="00000000" w:rsidRPr="00000000">
        <w:rPr>
          <w:rFonts w:ascii="Century Gothic" w:cs="Century Gothic" w:eastAsia="Century Gothic" w:hAnsi="Century Gothic"/>
          <w:color w:val="000000"/>
          <w:sz w:val="20"/>
          <w:szCs w:val="20"/>
          <w:rtl w:val="0"/>
        </w:rPr>
        <w:t xml:space="preserve"> </w:t>
      </w:r>
      <w:r w:rsidDel="00000000" w:rsidR="00000000" w:rsidRPr="00000000">
        <w:rPr>
          <w:rtl w:val="0"/>
        </w:rPr>
      </w:r>
    </w:p>
    <w:p w:rsidR="00000000" w:rsidDel="00000000" w:rsidP="00000000" w:rsidRDefault="00000000" w:rsidRPr="00000000" w14:paraId="00000026">
      <w:pPr>
        <w:spacing w:after="0" w:line="240" w:lineRule="auto"/>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7">
      <w:pPr>
        <w:spacing w:after="0" w:line="240" w:lineRule="auto"/>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Revisa el formato de las citaciones: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Century Gothic" w:cs="Century Gothic" w:eastAsia="Century Gothic" w:hAnsi="Century Gothic"/>
          <w:b w:val="1"/>
          <w:color w:val="000000"/>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222222"/>
          <w:sz w:val="20"/>
          <w:szCs w:val="20"/>
          <w:rtl w:val="0"/>
        </w:rPr>
        <w:t xml:space="preserve">Mira a</w:t>
      </w:r>
      <w:r w:rsidDel="00000000" w:rsidR="00000000" w:rsidRPr="00000000">
        <w:rPr>
          <w:rFonts w:ascii="Century Gothic" w:cs="Century Gothic" w:eastAsia="Century Gothic" w:hAnsi="Century Gothic"/>
          <w:color w:val="000000"/>
          <w:sz w:val="20"/>
          <w:szCs w:val="20"/>
          <w:rtl w:val="0"/>
        </w:rPr>
        <w:t xml:space="preserve">lgunos ejemplos para la lista de referencias de tu artículo: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22222"/>
          <w:sz w:val="20"/>
          <w:szCs w:val="20"/>
          <w:u w:val="none"/>
          <w:shd w:fill="auto" w:val="clear"/>
          <w:vertAlign w:val="baseline"/>
          <w:rtl w:val="0"/>
        </w:rPr>
        <w:t xml:space="preserve">Artículo: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Caruso, R. A.; Susha, A.; Caruso, F. Multilayered Titania, Silica, and Laponite Nanoparticle Coatings on Polystyrene Colloidal Templates and Resulting Inorganic Hollow Spheres. Chem. Mater. 2001, 13, 400–409.</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Libro: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 Couteur, P.; Burreson, J. Napoleon’s Buttons: How 17 Molecules Changed History; Jeremy P. Tarcher/Putnam: New York, 2003; pp 32–47.</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i w:val="0"/>
          <w:smallCaps w:val="0"/>
          <w:strike w:val="0"/>
          <w:color w:val="222222"/>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Tesis</w:t>
      </w:r>
      <w:r w:rsidDel="00000000" w:rsidR="00000000" w:rsidRPr="00000000">
        <w:rPr>
          <w:rFonts w:ascii="Century Gothic" w:cs="Century Gothic" w:eastAsia="Century Gothic" w:hAnsi="Century Gothic"/>
          <w:b w:val="1"/>
          <w:i w:val="0"/>
          <w:smallCaps w:val="0"/>
          <w:strike w:val="0"/>
          <w:color w:val="222222"/>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Mäckel, H. Capturing the Spectra of Silicon Solar Cells. Ph.D. Thesis, The Australian National University, December 2004.</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Documentos de Gobierno: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Agriculture Fact Book 2000; U.S. Department of Agriculture, U.S. Government Printing Office: Washington, DC, 2000.</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Base de datos en línea: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Hallet, V. Scanning the Globe for Organic Chemistry. U.S. News and World Report [Online], Abril 19, 2004, p 59. Business Source Premier. http://www.epnet.com/academic/ bussourceprem.asp (acceso Abril 24, 2005).</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Sitios Web: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ACS Publications Division Home Page. http://pubs.acs.org (accessed Nov 7, 2004).</w:t>
      </w:r>
      <w:r w:rsidDel="00000000" w:rsidR="00000000" w:rsidRPr="00000000">
        <w:rPr>
          <w:rtl w:val="0"/>
        </w:rPr>
      </w:r>
    </w:p>
    <w:p w:rsidR="00000000" w:rsidDel="00000000" w:rsidP="00000000" w:rsidRDefault="00000000" w:rsidRPr="00000000" w14:paraId="00000032">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33">
      <w:pPr>
        <w:tabs>
          <w:tab w:val="left" w:pos="1987"/>
        </w:tabs>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34">
      <w:pPr>
        <w:spacing w:after="0" w:line="240" w:lineRule="auto"/>
        <w:jc w:val="both"/>
        <w:rPr>
          <w:rFonts w:ascii="Century Gothic" w:cs="Century Gothic" w:eastAsia="Century Gothic" w:hAnsi="Century Gothic"/>
          <w:b w:val="1"/>
          <w:color w:val="222222"/>
          <w:sz w:val="20"/>
          <w:szCs w:val="20"/>
          <w:u w:val="single"/>
        </w:rPr>
      </w:pPr>
      <w:r w:rsidDel="00000000" w:rsidR="00000000" w:rsidRPr="00000000">
        <w:rPr>
          <w:rFonts w:ascii="Century Gothic" w:cs="Century Gothic" w:eastAsia="Century Gothic" w:hAnsi="Century Gothic"/>
          <w:b w:val="1"/>
          <w:color w:val="222222"/>
          <w:sz w:val="20"/>
          <w:szCs w:val="20"/>
          <w:u w:val="single"/>
          <w:rtl w:val="0"/>
        </w:rPr>
        <w:t xml:space="preserve">Antes de enviar un artículo:</w:t>
      </w:r>
    </w:p>
    <w:p w:rsidR="00000000" w:rsidDel="00000000" w:rsidP="00000000" w:rsidRDefault="00000000" w:rsidRPr="00000000" w14:paraId="00000035">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Verifica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 número de caracteres y los espacios entre palabras.</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Revisa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la extensión de acuerdo al tipo de artículo</w:t>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sección Latinoamérica/Ecuador: </w:t>
      </w:r>
      <w:r w:rsidDel="00000000" w:rsidR="00000000" w:rsidRPr="00000000">
        <w:rPr>
          <w:rFonts w:ascii="Century Gothic" w:cs="Century Gothic" w:eastAsia="Century Gothic" w:hAnsi="Century Gothic"/>
          <w:sz w:val="20"/>
          <w:szCs w:val="20"/>
          <w:rtl w:val="0"/>
        </w:rPr>
        <w:t xml:space="preserve">55</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00 caracteres</w:t>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Artículo opinión/ciencia comunicativa: 4</w:t>
      </w:r>
      <w:r w:rsidDel="00000000" w:rsidR="00000000" w:rsidRPr="00000000">
        <w:rPr>
          <w:rFonts w:ascii="Century Gothic" w:cs="Century Gothic" w:eastAsia="Century Gothic" w:hAnsi="Century Gothic"/>
          <w:sz w:val="20"/>
          <w:szCs w:val="20"/>
          <w:rtl w:val="0"/>
        </w:rPr>
        <w:t xml:space="preserve">5</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00 caracteres</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Evita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la información especializada como gráficas, fórmulas difíciles o afines.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 olvides llenar los datos de información de autor</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Llena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 formulario de aceptación y fírmalo</w:t>
      </w:r>
    </w:p>
    <w:p w:rsidR="00000000" w:rsidDel="00000000" w:rsidP="00000000" w:rsidRDefault="00000000" w:rsidRPr="00000000" w14:paraId="0000003D">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3E">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3F">
      <w:pPr>
        <w:spacing w:after="0" w:line="240" w:lineRule="auto"/>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Una vez que el artículo sea enviado, el autor recibirá una notificación de recepción. El Consejo Editorial revisará el cumplimiento de los siguientes criterios mínimos:</w:t>
      </w:r>
    </w:p>
    <w:p w:rsidR="00000000" w:rsidDel="00000000" w:rsidP="00000000" w:rsidRDefault="00000000" w:rsidRPr="00000000" w14:paraId="00000040">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Pertinencia del artículo con las temáticas de la edición</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Cumplimiento del periodo de entrega del artículo en los tiempos definidos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Adecuada extensión del texto según la sección </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Resumen cumple con la extensión de 200 palabras</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Título atractivo y se relaciona con el contenido</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Extensión máxima de 13 palabras en título</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Datos de autoría completos (nombres, contacto y filiación)</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Carta de originalidad </w:t>
      </w:r>
      <w:r w:rsidDel="00000000" w:rsidR="00000000" w:rsidRPr="00000000">
        <w:rPr>
          <w:rFonts w:ascii="Century Gothic" w:cs="Century Gothic" w:eastAsia="Century Gothic" w:hAnsi="Century Gothic"/>
          <w:b w:val="1"/>
          <w:color w:val="222222"/>
          <w:sz w:val="20"/>
          <w:szCs w:val="20"/>
          <w:rtl w:val="0"/>
        </w:rPr>
        <w:t xml:space="preserve">adjuntada y firmada</w:t>
      </w:r>
      <w:r w:rsidDel="00000000" w:rsidR="00000000" w:rsidRPr="00000000">
        <w:rPr>
          <w:rtl w:val="0"/>
        </w:rPr>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Citas incluidas verificables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En el caso de explicar información por medio de un gráfico, adjuntarlo en buena calidad la imagen y/o tabla al mail de envío del artículo.</w:t>
      </w:r>
    </w:p>
    <w:p w:rsidR="00000000" w:rsidDel="00000000" w:rsidP="00000000" w:rsidRDefault="00000000" w:rsidRPr="00000000" w14:paraId="0000004B">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4C">
      <w:pPr>
        <w:spacing w:after="0" w:line="240" w:lineRule="auto"/>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Al finalizar cada fase, el equipo de catálisis enviará un correo electrónico solicitando cambios o informando el estado del artículo.</w:t>
      </w:r>
    </w:p>
    <w:p w:rsidR="00000000" w:rsidDel="00000000" w:rsidP="00000000" w:rsidRDefault="00000000" w:rsidRPr="00000000" w14:paraId="0000004D">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4E">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4F">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50">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¡Gracias por contribuir a este proyecto colectivo que es Catálisis Revista Digital!</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spacing w:after="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3">
      <w:pPr>
        <w:spacing w:after="0" w:line="240" w:lineRule="auto"/>
        <w:jc w:val="both"/>
        <w:rPr>
          <w:rFonts w:ascii="Century Gothic" w:cs="Century Gothic" w:eastAsia="Century Gothic" w:hAnsi="Century Gothic"/>
          <w:color w:val="222222"/>
          <w:sz w:val="20"/>
          <w:szCs w:val="20"/>
        </w:rPr>
      </w:pPr>
      <w:r w:rsidDel="00000000" w:rsidR="00000000" w:rsidRPr="00000000">
        <w:rPr>
          <w:rtl w:val="0"/>
        </w:rPr>
      </w:r>
    </w:p>
    <w:p w:rsidR="00000000" w:rsidDel="00000000" w:rsidP="00000000" w:rsidRDefault="00000000" w:rsidRPr="00000000" w14:paraId="00000054">
      <w:pPr>
        <w:spacing w:after="0"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5">
      <w:pPr>
        <w:spacing w:after="0"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sectPr>
      <w:headerReference r:id="rId8" w:type="default"/>
      <w:foot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lacial Indifference"/>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itka Small"/>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Garamond" w:cs="Garamond" w:eastAsia="Garamond" w:hAnsi="Garamond"/>
        <w:b w:val="1"/>
        <w:i w:val="0"/>
        <w:smallCaps w:val="1"/>
        <w:strike w:val="0"/>
        <w:color w:val="4472c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-1079499</wp:posOffset>
              </wp:positionH>
              <wp:positionV relativeFrom="paragraph">
                <wp:posOffset>38100</wp:posOffset>
              </wp:positionV>
              <wp:extent cx="7806690" cy="567268"/>
              <wp:effectExtent b="0" l="0" r="0" t="0"/>
              <wp:wrapNone/>
              <wp:docPr id="32" name=""/>
              <a:graphic>
                <a:graphicData uri="http://schemas.microsoft.com/office/word/2010/wordprocessingShape">
                  <wps:wsp>
                    <wps:cNvSpPr/>
                    <wps:cNvPr id="2" name="Shape 2"/>
                    <wps:spPr>
                      <a:xfrm>
                        <a:off x="1471230" y="3524941"/>
                        <a:ext cx="7749540" cy="510118"/>
                      </a:xfrm>
                      <a:prstGeom prst="rect">
                        <a:avLst/>
                      </a:prstGeom>
                      <a:solidFill>
                        <a:srgbClr val="D0CECE"/>
                      </a:solidFill>
                      <a:ln cap="flat" cmpd="sng" w="19050">
                        <a:solidFill>
                          <a:srgbClr val="D0CECE"/>
                        </a:solidFill>
                        <a:prstDash val="solid"/>
                        <a:miter lim="800000"/>
                        <a:headEnd len="sm" w="sm" type="none"/>
                        <a:tailEnd len="sm" w="sm" type="none"/>
                      </a:ln>
                    </wps:spPr>
                    <wps:txbx>
                      <w:txbxContent>
                        <w:p w:rsidR="00000000" w:rsidDel="00000000" w:rsidP="00000000" w:rsidRDefault="00000000" w:rsidRPr="00000000">
                          <w:pPr>
                            <w:spacing w:after="0" w:before="0" w:line="240"/>
                            <w:ind w:left="850.9999847412109" w:right="1260" w:firstLine="1701.9999694824219"/>
                            <w:jc w:val="center"/>
                            <w:textDirection w:val="btLr"/>
                          </w:pPr>
                          <w:r w:rsidDel="00000000" w:rsidR="00000000" w:rsidRPr="00000000">
                            <w:rPr>
                              <w:rFonts w:ascii="Century Gothic" w:cs="Century Gothic" w:eastAsia="Century Gothic" w:hAnsi="Century Gothic"/>
                              <w:b w:val="0"/>
                              <w:i w:val="0"/>
                              <w:smallCaps w:val="0"/>
                              <w:strike w:val="0"/>
                              <w:color w:val="000000"/>
                              <w:sz w:val="16"/>
                              <w:vertAlign w:val="baseline"/>
                            </w:rPr>
                            <w:t xml:space="preserve">Recuerda que puedes contactarte con nosotros por cualquier duda adicional, escríbenos a </w:t>
                          </w:r>
                          <w:r w:rsidDel="00000000" w:rsidR="00000000" w:rsidRPr="00000000">
                            <w:rPr>
                              <w:rFonts w:ascii="Century Gothic" w:cs="Century Gothic" w:eastAsia="Century Gothic" w:hAnsi="Century Gothic"/>
                              <w:b w:val="1"/>
                              <w:i w:val="0"/>
                              <w:smallCaps w:val="0"/>
                              <w:strike w:val="0"/>
                              <w:color w:val="000000"/>
                              <w:sz w:val="16"/>
                              <w:vertAlign w:val="baseline"/>
                            </w:rPr>
                            <w:t xml:space="preserve">revista@catalisisec.com</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-1079499</wp:posOffset>
              </wp:positionH>
              <wp:positionV relativeFrom="paragraph">
                <wp:posOffset>38100</wp:posOffset>
              </wp:positionV>
              <wp:extent cx="7806690" cy="567268"/>
              <wp:effectExtent b="0" l="0" r="0" t="0"/>
              <wp:wrapNone/>
              <wp:docPr id="3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806690" cy="567268"/>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850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96"/>
      <w:gridCol w:w="6308"/>
      <w:tblGridChange w:id="0">
        <w:tblGrid>
          <w:gridCol w:w="2196"/>
          <w:gridCol w:w="6308"/>
        </w:tblGrid>
      </w:tblGridChange>
    </w:tblGrid>
    <w:tr>
      <w:trPr>
        <w:cantSplit w:val="0"/>
        <w:tblHeader w:val="0"/>
      </w:trPr>
      <w:tc>
        <w:tcPr>
          <w:vAlign w:val="center"/>
        </w:tcPr>
        <w:p w:rsidR="00000000" w:rsidDel="00000000" w:rsidP="00000000" w:rsidRDefault="00000000" w:rsidRPr="00000000" w14:paraId="00000058">
          <w:pPr>
            <w:tabs>
              <w:tab w:val="center" w:pos="4419"/>
              <w:tab w:val="right" w:pos="8838"/>
            </w:tabs>
            <w:jc w:val="both"/>
            <w:rPr>
              <w:rFonts w:ascii="Glacial Indifference" w:cs="Glacial Indifference" w:eastAsia="Glacial Indifference" w:hAnsi="Glacial Indifference"/>
              <w:b w:val="1"/>
              <w:color w:val="c55911"/>
              <w:sz w:val="20"/>
              <w:szCs w:val="20"/>
            </w:rPr>
          </w:pPr>
          <w:r w:rsidDel="00000000" w:rsidR="00000000" w:rsidRPr="00000000">
            <w:rPr/>
            <w:drawing>
              <wp:inline distB="0" distT="0" distL="0" distR="0">
                <wp:extent cx="1257300" cy="505460"/>
                <wp:effectExtent b="0" l="0" r="0" t="0"/>
                <wp:docPr descr="Forma&#10;&#10;Descripción generada automáticamente con confianza baja" id="33" name="image1.png"/>
                <a:graphic>
                  <a:graphicData uri="http://schemas.openxmlformats.org/drawingml/2006/picture">
                    <pic:pic>
                      <pic:nvPicPr>
                        <pic:cNvPr descr="Forma&#10;&#10;Descripción generada automáticamente con confianza baja" id="0" name="image1.png"/>
                        <pic:cNvPicPr preferRelativeResize="0"/>
                      </pic:nvPicPr>
                      <pic:blipFill>
                        <a:blip r:embed="rId1"/>
                        <a:srcRect b="29797" l="0" r="0" t="29986"/>
                        <a:stretch>
                          <a:fillRect/>
                        </a:stretch>
                      </pic:blipFill>
                      <pic:spPr>
                        <a:xfrm>
                          <a:off x="0" y="0"/>
                          <a:ext cx="1257300" cy="5054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pos="4419"/>
              <w:tab w:val="right" w:pos="8838"/>
            </w:tabs>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color w:val="ee9410"/>
              <w:sz w:val="18"/>
              <w:szCs w:val="18"/>
              <w:rtl w:val="0"/>
            </w:rPr>
            <w:t xml:space="preserve">Guía para redactores:</w:t>
          </w:r>
          <w:r w:rsidDel="00000000" w:rsidR="00000000" w:rsidRPr="00000000">
            <w:rPr>
              <w:rFonts w:ascii="Century Gothic" w:cs="Century Gothic" w:eastAsia="Century Gothic" w:hAnsi="Century Gothic"/>
              <w:b w:val="1"/>
              <w:color w:val="c55911"/>
              <w:sz w:val="18"/>
              <w:szCs w:val="18"/>
              <w:rtl w:val="0"/>
            </w:rPr>
            <w:t xml:space="preserve"> </w:t>
          </w:r>
          <w:r w:rsidDel="00000000" w:rsidR="00000000" w:rsidRPr="00000000">
            <w:rPr>
              <w:rFonts w:ascii="Century Gothic" w:cs="Century Gothic" w:eastAsia="Century Gothic" w:hAnsi="Century Gothic"/>
              <w:sz w:val="18"/>
              <w:szCs w:val="18"/>
              <w:rtl w:val="0"/>
            </w:rPr>
            <w:t xml:space="preserve">A continuación encontrarás una serie de lineamientos y consejos que pueden ayudarte durante el proceso de redacción.</w:t>
          </w:r>
        </w:p>
      </w:tc>
    </w:tr>
  </w:tb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Sitka Small" w:cs="Sitka Small" w:eastAsia="Sitka Small" w:hAnsi="Sitka Smal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AA0E45"/>
    <w:pPr>
      <w:ind w:left="720"/>
      <w:contextualSpacing w:val="1"/>
    </w:pPr>
  </w:style>
  <w:style w:type="paragraph" w:styleId="Ttulo">
    <w:name w:val="Title"/>
    <w:basedOn w:val="Normal"/>
    <w:next w:val="Normal"/>
    <w:link w:val="TtuloCar"/>
    <w:uiPriority w:val="10"/>
    <w:qFormat w:val="1"/>
    <w:rsid w:val="00A80AE3"/>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A80AE3"/>
    <w:rPr>
      <w:rFonts w:asciiTheme="majorHAnsi" w:cstheme="majorBidi" w:eastAsiaTheme="majorEastAsia" w:hAnsiTheme="majorHAnsi"/>
      <w:spacing w:val="-10"/>
      <w:kern w:val="28"/>
      <w:sz w:val="56"/>
      <w:szCs w:val="56"/>
    </w:rPr>
  </w:style>
  <w:style w:type="paragraph" w:styleId="NormalWeb">
    <w:name w:val="Normal (Web)"/>
    <w:basedOn w:val="Normal"/>
    <w:uiPriority w:val="99"/>
    <w:semiHidden w:val="1"/>
    <w:unhideWhenUsed w:val="1"/>
    <w:rsid w:val="00A80AE3"/>
    <w:pPr>
      <w:spacing w:after="100" w:afterAutospacing="1" w:before="100" w:beforeAutospacing="1" w:line="240" w:lineRule="auto"/>
    </w:pPr>
    <w:rPr>
      <w:rFonts w:ascii="Times New Roman" w:cs="Times New Roman" w:eastAsia="Times New Roman" w:hAnsi="Times New Roman"/>
      <w:sz w:val="24"/>
      <w:szCs w:val="24"/>
      <w:lang w:eastAsia="es-EC" w:val="es-EC"/>
    </w:rPr>
  </w:style>
  <w:style w:type="character" w:styleId="Hipervnculo">
    <w:name w:val="Hyperlink"/>
    <w:basedOn w:val="Fuentedeprrafopredeter"/>
    <w:uiPriority w:val="99"/>
    <w:unhideWhenUsed w:val="1"/>
    <w:rsid w:val="00A80AE3"/>
    <w:rPr>
      <w:color w:val="0000ff"/>
      <w:u w:val="single"/>
    </w:rPr>
  </w:style>
  <w:style w:type="paragraph" w:styleId="Encabezado">
    <w:name w:val="header"/>
    <w:basedOn w:val="Normal"/>
    <w:link w:val="EncabezadoCar"/>
    <w:uiPriority w:val="99"/>
    <w:unhideWhenUsed w:val="1"/>
    <w:rsid w:val="00582AB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82ABD"/>
  </w:style>
  <w:style w:type="paragraph" w:styleId="Piedepgina">
    <w:name w:val="footer"/>
    <w:basedOn w:val="Normal"/>
    <w:link w:val="PiedepginaCar"/>
    <w:uiPriority w:val="99"/>
    <w:unhideWhenUsed w:val="1"/>
    <w:rsid w:val="00582AB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82ABD"/>
  </w:style>
  <w:style w:type="table" w:styleId="Tablaconcuadrcula">
    <w:name w:val="Table Grid"/>
    <w:basedOn w:val="Tablanormal"/>
    <w:uiPriority w:val="39"/>
    <w:rsid w:val="00051226"/>
    <w:pPr>
      <w:spacing w:after="0" w:line="240" w:lineRule="auto"/>
    </w:pPr>
    <w:rPr>
      <w:rFonts w:ascii="Calibri" w:cs="Calibri" w:eastAsia="Calibri" w:hAnsi="Calibri"/>
      <w:lang w:eastAsia="es-ES_tradnl"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1F14D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jlakes.org/config/hpkx/news_category/2017-02-14/ACS-StyleGuide.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RaqtXUSjgr8zZkpVWvaIazlirw==">AMUW2mXtUZy6yB5sR4ljQAZJZnsrcZD014VneYgLEzA40DAdge8Grp6SxAmeTGyiHwC4NZhahpj0zfjbvvJMU9R2616nn8AWEQG3pYezlK10We5gf1LY3gk=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2021-07-01T17:08:00Z</dcterms:created>
  <dc:creator>Nicolás Camargo Lescano</dc:creator>
</cp:coreProperties>
</file>